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CD526" w14:textId="40A9D05A" w:rsidR="00484D69" w:rsidRDefault="00F24DF1"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471C969" wp14:editId="578E434A">
            <wp:simplePos x="0" y="0"/>
            <wp:positionH relativeFrom="column">
              <wp:posOffset>1738548</wp:posOffset>
            </wp:positionH>
            <wp:positionV relativeFrom="page">
              <wp:posOffset>485775</wp:posOffset>
            </wp:positionV>
            <wp:extent cx="3108960" cy="99669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ms T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9FF28" w14:textId="77777777" w:rsidR="0068124B" w:rsidRDefault="0068124B"/>
    <w:p w14:paraId="402E76DB" w14:textId="77777777" w:rsidR="00A07FF6" w:rsidRPr="003C58F7" w:rsidRDefault="00A07FF6" w:rsidP="009A06E0">
      <w:pPr>
        <w:rPr>
          <w:rFonts w:ascii="Georgia" w:hAnsi="Georgia"/>
          <w:b/>
          <w:sz w:val="16"/>
          <w:szCs w:val="16"/>
        </w:rPr>
      </w:pPr>
    </w:p>
    <w:p w14:paraId="4DD49E67" w14:textId="77777777" w:rsidR="00EC4EAA" w:rsidRDefault="00EC4EAA" w:rsidP="009A06E0">
      <w:pPr>
        <w:rPr>
          <w:rFonts w:ascii="Georgia" w:hAnsi="Georgia"/>
          <w:b/>
          <w:sz w:val="32"/>
          <w:szCs w:val="32"/>
        </w:rPr>
      </w:pPr>
    </w:p>
    <w:p w14:paraId="3C059D6D" w14:textId="374E31AE" w:rsidR="009A06E0" w:rsidRPr="00F81A72" w:rsidRDefault="00853A4E" w:rsidP="009A06E0">
      <w:pPr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b/>
          <w:sz w:val="32"/>
          <w:szCs w:val="32"/>
        </w:rPr>
        <w:t>The Academic Intervention Management System (AIMS)</w:t>
      </w:r>
      <w:r w:rsidRPr="00F81A72">
        <w:rPr>
          <w:rFonts w:ascii="Georgia" w:hAnsi="Georgia"/>
          <w:sz w:val="24"/>
          <w:szCs w:val="24"/>
        </w:rPr>
        <w:t xml:space="preserve"> </w:t>
      </w:r>
      <w:r w:rsidR="003C58F7" w:rsidRPr="003C58F7">
        <w:rPr>
          <w:rFonts w:ascii="Georgia" w:hAnsi="Georgia"/>
          <w:color w:val="211D1E"/>
          <w:sz w:val="24"/>
          <w:szCs w:val="24"/>
        </w:rPr>
        <w:t xml:space="preserve">is your complete AIS/RtI program that facilitates eligibility, academic identification, intervention enrollment, notes, production of the required </w:t>
      </w:r>
      <w:r w:rsidR="003C58F7">
        <w:rPr>
          <w:rFonts w:ascii="Georgia" w:hAnsi="Georgia"/>
          <w:color w:val="211D1E"/>
          <w:sz w:val="24"/>
          <w:szCs w:val="24"/>
        </w:rPr>
        <w:t>L</w:t>
      </w:r>
      <w:r w:rsidR="003C58F7" w:rsidRPr="003C58F7">
        <w:rPr>
          <w:rFonts w:ascii="Georgia" w:hAnsi="Georgia"/>
          <w:color w:val="211D1E"/>
          <w:sz w:val="24"/>
          <w:szCs w:val="24"/>
        </w:rPr>
        <w:t xml:space="preserve">etters of </w:t>
      </w:r>
      <w:r w:rsidR="003C58F7">
        <w:rPr>
          <w:rFonts w:ascii="Georgia" w:hAnsi="Georgia"/>
          <w:color w:val="211D1E"/>
          <w:sz w:val="24"/>
          <w:szCs w:val="24"/>
        </w:rPr>
        <w:t>N</w:t>
      </w:r>
      <w:r w:rsidR="003C58F7" w:rsidRPr="003C58F7">
        <w:rPr>
          <w:rFonts w:ascii="Georgia" w:hAnsi="Georgia"/>
          <w:color w:val="211D1E"/>
          <w:sz w:val="24"/>
          <w:szCs w:val="24"/>
        </w:rPr>
        <w:t xml:space="preserve">otification, quarterly progress reports, and </w:t>
      </w:r>
      <w:r w:rsidR="003C58F7">
        <w:rPr>
          <w:rFonts w:ascii="Georgia" w:hAnsi="Georgia"/>
          <w:color w:val="211D1E"/>
          <w:sz w:val="24"/>
          <w:szCs w:val="24"/>
        </w:rPr>
        <w:t>L</w:t>
      </w:r>
      <w:r w:rsidR="003C58F7" w:rsidRPr="003C58F7">
        <w:rPr>
          <w:rFonts w:ascii="Georgia" w:hAnsi="Georgia"/>
          <w:color w:val="211D1E"/>
          <w:sz w:val="24"/>
          <w:szCs w:val="24"/>
        </w:rPr>
        <w:t xml:space="preserve">etter of </w:t>
      </w:r>
      <w:r w:rsidR="003C58F7">
        <w:rPr>
          <w:rFonts w:ascii="Georgia" w:hAnsi="Georgia"/>
          <w:color w:val="211D1E"/>
          <w:sz w:val="24"/>
          <w:szCs w:val="24"/>
        </w:rPr>
        <w:t>E</w:t>
      </w:r>
      <w:r w:rsidR="003C58F7" w:rsidRPr="003C58F7">
        <w:rPr>
          <w:rFonts w:ascii="Georgia" w:hAnsi="Georgia"/>
          <w:color w:val="211D1E"/>
          <w:sz w:val="24"/>
          <w:szCs w:val="24"/>
        </w:rPr>
        <w:t xml:space="preserve">nding of </w:t>
      </w:r>
      <w:r w:rsidR="003C58F7">
        <w:rPr>
          <w:rFonts w:ascii="Georgia" w:hAnsi="Georgia"/>
          <w:color w:val="211D1E"/>
          <w:sz w:val="24"/>
          <w:szCs w:val="24"/>
        </w:rPr>
        <w:t>S</w:t>
      </w:r>
      <w:r w:rsidR="003C58F7" w:rsidRPr="003C58F7">
        <w:rPr>
          <w:rFonts w:ascii="Georgia" w:hAnsi="Georgia"/>
          <w:color w:val="211D1E"/>
          <w:sz w:val="24"/>
          <w:szCs w:val="24"/>
        </w:rPr>
        <w:t xml:space="preserve">ervices. It is designed to provide each school and/or district with a system to manage and monitor the implementation of </w:t>
      </w:r>
      <w:r w:rsidR="003C58F7">
        <w:rPr>
          <w:rFonts w:ascii="Georgia" w:hAnsi="Georgia"/>
          <w:color w:val="211D1E"/>
          <w:sz w:val="24"/>
          <w:szCs w:val="24"/>
        </w:rPr>
        <w:t xml:space="preserve">the </w:t>
      </w:r>
      <w:r w:rsidR="003C58F7" w:rsidRPr="003C58F7">
        <w:rPr>
          <w:rFonts w:ascii="Georgia" w:hAnsi="Georgia"/>
          <w:color w:val="211D1E"/>
          <w:sz w:val="24"/>
          <w:szCs w:val="24"/>
        </w:rPr>
        <w:t>Commissioner’s Regulations requiring Academic Intervention Services (AIS) to supplement the instruction in the general curriculum and assist students in improving performance.</w:t>
      </w:r>
    </w:p>
    <w:p w14:paraId="587CE8F0" w14:textId="319EC220" w:rsidR="00B15A35" w:rsidRPr="00F81A72" w:rsidRDefault="00A07FF6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More than a decade</w:t>
      </w:r>
      <w:r w:rsidR="0045671D" w:rsidRPr="00F81A72">
        <w:rPr>
          <w:rFonts w:ascii="Georgia" w:hAnsi="Georgia"/>
          <w:sz w:val="24"/>
          <w:szCs w:val="24"/>
        </w:rPr>
        <w:t xml:space="preserve"> of innovation to meet </w:t>
      </w:r>
      <w:r w:rsidR="00020FD6" w:rsidRPr="00F81A72">
        <w:rPr>
          <w:rFonts w:ascii="Georgia" w:hAnsi="Georgia"/>
          <w:sz w:val="24"/>
          <w:szCs w:val="24"/>
        </w:rPr>
        <w:t>district</w:t>
      </w:r>
      <w:r w:rsidR="0045671D" w:rsidRPr="00F81A72">
        <w:rPr>
          <w:rFonts w:ascii="Georgia" w:hAnsi="Georgia"/>
          <w:sz w:val="24"/>
          <w:szCs w:val="24"/>
        </w:rPr>
        <w:t xml:space="preserve"> needs and State Requirements</w:t>
      </w:r>
    </w:p>
    <w:p w14:paraId="4B011176" w14:textId="328A20BD" w:rsidR="008A60A6" w:rsidRPr="00F81A72" w:rsidRDefault="0045671D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>Easy identification of AIS/RtI student eligibility from assessment data</w:t>
      </w:r>
    </w:p>
    <w:p w14:paraId="0307B749" w14:textId="7816C7B3" w:rsidR="00F24141" w:rsidRPr="00F81A72" w:rsidRDefault="00F24141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 xml:space="preserve">Imports </w:t>
      </w:r>
      <w:r w:rsidRPr="00A07FF6">
        <w:rPr>
          <w:rFonts w:ascii="Georgia" w:hAnsi="Georgia"/>
          <w:i/>
          <w:sz w:val="24"/>
          <w:szCs w:val="24"/>
        </w:rPr>
        <w:t>all</w:t>
      </w:r>
      <w:r w:rsidRPr="00F81A72">
        <w:rPr>
          <w:rFonts w:ascii="Georgia" w:hAnsi="Georgia"/>
          <w:sz w:val="24"/>
          <w:szCs w:val="24"/>
        </w:rPr>
        <w:t xml:space="preserve"> assessment data necessary to track student progress</w:t>
      </w:r>
    </w:p>
    <w:p w14:paraId="5A0F0FB5" w14:textId="1CF82474" w:rsidR="00B15A35" w:rsidRPr="00F81A72" w:rsidRDefault="0045671D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 xml:space="preserve">Contains </w:t>
      </w:r>
      <w:r w:rsidRPr="00A07FF6">
        <w:rPr>
          <w:rFonts w:ascii="Georgia" w:hAnsi="Georgia"/>
          <w:i/>
          <w:sz w:val="24"/>
          <w:szCs w:val="24"/>
        </w:rPr>
        <w:t>all</w:t>
      </w:r>
      <w:r w:rsidRPr="00F81A72">
        <w:rPr>
          <w:rFonts w:ascii="Georgia" w:hAnsi="Georgia"/>
          <w:sz w:val="24"/>
          <w:szCs w:val="24"/>
        </w:rPr>
        <w:t xml:space="preserve"> district Interventions and Strategies</w:t>
      </w:r>
    </w:p>
    <w:p w14:paraId="0EDA88B2" w14:textId="4248EEBA" w:rsidR="00B15A35" w:rsidRPr="00F81A72" w:rsidRDefault="00A07FF6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Click o</w:t>
      </w:r>
      <w:r w:rsidR="000F5A20" w:rsidRPr="00F81A72">
        <w:rPr>
          <w:rFonts w:ascii="Georgia" w:hAnsi="Georgia"/>
          <w:sz w:val="24"/>
          <w:szCs w:val="24"/>
        </w:rPr>
        <w:t xml:space="preserve">ne button </w:t>
      </w:r>
      <w:r>
        <w:rPr>
          <w:rFonts w:ascii="Georgia" w:hAnsi="Georgia"/>
          <w:sz w:val="24"/>
          <w:szCs w:val="24"/>
        </w:rPr>
        <w:t xml:space="preserve">for </w:t>
      </w:r>
      <w:r w:rsidR="000F5A20" w:rsidRPr="00F81A72">
        <w:rPr>
          <w:rFonts w:ascii="Georgia" w:hAnsi="Georgia"/>
          <w:sz w:val="24"/>
          <w:szCs w:val="24"/>
        </w:rPr>
        <w:t xml:space="preserve">production </w:t>
      </w:r>
      <w:r w:rsidR="00BA7A69" w:rsidRPr="00F81A72">
        <w:rPr>
          <w:rFonts w:ascii="Georgia" w:hAnsi="Georgia"/>
          <w:sz w:val="24"/>
          <w:szCs w:val="24"/>
        </w:rPr>
        <w:t xml:space="preserve">of </w:t>
      </w:r>
      <w:r w:rsidR="00BA7A69" w:rsidRPr="00A07FF6">
        <w:rPr>
          <w:rFonts w:ascii="Georgia" w:hAnsi="Georgia"/>
          <w:i/>
          <w:sz w:val="24"/>
          <w:szCs w:val="24"/>
        </w:rPr>
        <w:t xml:space="preserve">all </w:t>
      </w:r>
      <w:r w:rsidR="00BA7A69" w:rsidRPr="00F81A72">
        <w:rPr>
          <w:rFonts w:ascii="Georgia" w:hAnsi="Georgia"/>
          <w:sz w:val="24"/>
          <w:szCs w:val="24"/>
        </w:rPr>
        <w:t>required parental communications</w:t>
      </w:r>
    </w:p>
    <w:p w14:paraId="70BADB65" w14:textId="7D8F1BB6" w:rsidR="00B15A35" w:rsidRPr="00F81A72" w:rsidRDefault="00BA7A69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 xml:space="preserve">Imbedded, customizable statements for Letters of </w:t>
      </w:r>
      <w:r w:rsidR="00A07FF6">
        <w:rPr>
          <w:rFonts w:ascii="Georgia" w:hAnsi="Georgia"/>
          <w:sz w:val="24"/>
          <w:szCs w:val="24"/>
        </w:rPr>
        <w:t>N</w:t>
      </w:r>
      <w:r w:rsidRPr="00F81A72">
        <w:rPr>
          <w:rFonts w:ascii="Georgia" w:hAnsi="Georgia"/>
          <w:sz w:val="24"/>
          <w:szCs w:val="24"/>
        </w:rPr>
        <w:t>otification, quarterly progress</w:t>
      </w:r>
      <w:r w:rsidR="00A07FF6">
        <w:rPr>
          <w:rFonts w:ascii="Georgia" w:hAnsi="Georgia"/>
          <w:sz w:val="24"/>
          <w:szCs w:val="24"/>
        </w:rPr>
        <w:t xml:space="preserve"> and more…</w:t>
      </w:r>
    </w:p>
    <w:p w14:paraId="4B7F9D83" w14:textId="46AF5459" w:rsidR="00122678" w:rsidRPr="00F81A72" w:rsidRDefault="00122678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A07FF6">
        <w:rPr>
          <w:rFonts w:ascii="Georgia" w:hAnsi="Georgia"/>
          <w:i/>
          <w:sz w:val="24"/>
          <w:szCs w:val="24"/>
        </w:rPr>
        <w:t>All</w:t>
      </w:r>
      <w:r w:rsidRPr="00F81A72">
        <w:rPr>
          <w:rFonts w:ascii="Georgia" w:hAnsi="Georgia"/>
          <w:sz w:val="24"/>
          <w:szCs w:val="24"/>
        </w:rPr>
        <w:t xml:space="preserve"> district-approved correspondence/text may be translated to </w:t>
      </w:r>
      <w:r w:rsidR="00A07FF6">
        <w:rPr>
          <w:rFonts w:ascii="Georgia" w:hAnsi="Georgia"/>
          <w:sz w:val="24"/>
          <w:szCs w:val="24"/>
        </w:rPr>
        <w:t>other</w:t>
      </w:r>
      <w:r w:rsidRPr="00F81A72">
        <w:rPr>
          <w:rFonts w:ascii="Georgia" w:hAnsi="Georgia"/>
          <w:sz w:val="24"/>
          <w:szCs w:val="24"/>
        </w:rPr>
        <w:t xml:space="preserve"> languages </w:t>
      </w:r>
    </w:p>
    <w:p w14:paraId="79CA931D" w14:textId="5206AD0A" w:rsidR="008A60A6" w:rsidRPr="00F81A72" w:rsidRDefault="00122678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>Powerful reports on efficacy of interventions by subject, grade, type, and intensity</w:t>
      </w:r>
    </w:p>
    <w:p w14:paraId="6B7AA848" w14:textId="02CB7D7F" w:rsidR="000237DE" w:rsidRPr="00F81A72" w:rsidRDefault="000237DE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>Provides for access to support services and learning episodes</w:t>
      </w:r>
    </w:p>
    <w:p w14:paraId="5B96CFF6" w14:textId="5E202C2D" w:rsidR="00983C61" w:rsidRPr="00F81A72" w:rsidRDefault="00A07FF6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</w:t>
      </w:r>
      <w:r w:rsidR="00981902" w:rsidRPr="00F81A72">
        <w:rPr>
          <w:rFonts w:ascii="Georgia" w:hAnsi="Georgia"/>
          <w:sz w:val="24"/>
          <w:szCs w:val="24"/>
        </w:rPr>
        <w:t>inks to any Student Information System (SIS)</w:t>
      </w:r>
      <w:r w:rsidR="000046F1" w:rsidRPr="000046F1">
        <w:rPr>
          <w:noProof/>
        </w:rPr>
        <w:t xml:space="preserve"> </w:t>
      </w:r>
    </w:p>
    <w:p w14:paraId="43B4E94F" w14:textId="60D39EF9" w:rsidR="00983C61" w:rsidRPr="00F81A72" w:rsidRDefault="00A07FF6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Can</w:t>
      </w:r>
      <w:r w:rsidR="003B6543" w:rsidRPr="00F81A72">
        <w:rPr>
          <w:rFonts w:ascii="Georgia" w:hAnsi="Georgia"/>
          <w:sz w:val="24"/>
          <w:szCs w:val="24"/>
        </w:rPr>
        <w:t xml:space="preserve"> be linked to additional program data systems</w:t>
      </w:r>
    </w:p>
    <w:p w14:paraId="0E67467B" w14:textId="528EA9E5" w:rsidR="00B15A35" w:rsidRPr="00F81A72" w:rsidRDefault="00180C4B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>Imports all student photos</w:t>
      </w:r>
    </w:p>
    <w:p w14:paraId="2B079ACD" w14:textId="28CD48CB" w:rsidR="00B15A35" w:rsidRPr="00F81A72" w:rsidRDefault="00A07FF6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</w:t>
      </w:r>
      <w:r w:rsidR="00DD3727" w:rsidRPr="00F81A72">
        <w:rPr>
          <w:rFonts w:ascii="Georgia" w:hAnsi="Georgia"/>
          <w:sz w:val="24"/>
          <w:szCs w:val="24"/>
        </w:rPr>
        <w:t xml:space="preserve">ccess to </w:t>
      </w:r>
      <w:r w:rsidR="00DD3727" w:rsidRPr="00E67526">
        <w:rPr>
          <w:rFonts w:ascii="Georgia" w:hAnsi="Georgia"/>
          <w:i/>
          <w:sz w:val="24"/>
          <w:szCs w:val="24"/>
        </w:rPr>
        <w:t xml:space="preserve">all </w:t>
      </w:r>
      <w:r w:rsidR="00DD3727" w:rsidRPr="00F81A72">
        <w:rPr>
          <w:rFonts w:ascii="Georgia" w:hAnsi="Georgia"/>
          <w:sz w:val="24"/>
          <w:szCs w:val="24"/>
        </w:rPr>
        <w:t xml:space="preserve">SED </w:t>
      </w:r>
      <w:r w:rsidR="00122678" w:rsidRPr="00F81A72">
        <w:rPr>
          <w:rFonts w:ascii="Georgia" w:hAnsi="Georgia"/>
          <w:sz w:val="24"/>
          <w:szCs w:val="24"/>
        </w:rPr>
        <w:t>requirements</w:t>
      </w:r>
      <w:r w:rsidR="00DD3727" w:rsidRPr="00F81A72">
        <w:rPr>
          <w:rFonts w:ascii="Georgia" w:hAnsi="Georgia"/>
          <w:sz w:val="24"/>
          <w:szCs w:val="24"/>
        </w:rPr>
        <w:t xml:space="preserve">, guidelines, training materials, and regulations for </w:t>
      </w:r>
      <w:r w:rsidR="00122678" w:rsidRPr="00F81A72">
        <w:rPr>
          <w:rFonts w:ascii="Georgia" w:hAnsi="Georgia"/>
          <w:sz w:val="24"/>
          <w:szCs w:val="24"/>
        </w:rPr>
        <w:t>AIS</w:t>
      </w:r>
      <w:r w:rsidR="00DD3727" w:rsidRPr="00F81A72">
        <w:rPr>
          <w:rFonts w:ascii="Georgia" w:hAnsi="Georgia"/>
          <w:sz w:val="24"/>
          <w:szCs w:val="24"/>
        </w:rPr>
        <w:t xml:space="preserve"> and </w:t>
      </w:r>
      <w:r w:rsidR="00122678" w:rsidRPr="00F81A72">
        <w:rPr>
          <w:rFonts w:ascii="Georgia" w:hAnsi="Georgia"/>
          <w:sz w:val="24"/>
          <w:szCs w:val="24"/>
        </w:rPr>
        <w:t>RtI</w:t>
      </w:r>
    </w:p>
    <w:p w14:paraId="5DCA7433" w14:textId="1194A3D3" w:rsidR="008A60A6" w:rsidRPr="00F81A72" w:rsidRDefault="001860BD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 xml:space="preserve">Built-in rollover feature automatically brings student AIS/RtI records into new </w:t>
      </w:r>
      <w:r w:rsidR="00A07FF6">
        <w:rPr>
          <w:rFonts w:ascii="Georgia" w:hAnsi="Georgia"/>
          <w:sz w:val="24"/>
          <w:szCs w:val="24"/>
        </w:rPr>
        <w:t>school year</w:t>
      </w:r>
    </w:p>
    <w:p w14:paraId="3AD8BE8A" w14:textId="36908207" w:rsidR="00B15A35" w:rsidRPr="00F81A72" w:rsidRDefault="00CC6CC0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>Feedback</w:t>
      </w:r>
      <w:r w:rsidR="006513F8" w:rsidRPr="00F81A72">
        <w:rPr>
          <w:rFonts w:ascii="Georgia" w:hAnsi="Georgia"/>
          <w:sz w:val="24"/>
          <w:szCs w:val="24"/>
        </w:rPr>
        <w:t xml:space="preserve"> function allows users to contact support personnel directly when questions arise</w:t>
      </w:r>
    </w:p>
    <w:p w14:paraId="28129132" w14:textId="164DB63C" w:rsidR="00B15A35" w:rsidRPr="00F81A72" w:rsidRDefault="00A07FF6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U</w:t>
      </w:r>
      <w:r w:rsidR="006513F8" w:rsidRPr="00F81A72">
        <w:rPr>
          <w:rFonts w:ascii="Georgia" w:hAnsi="Georgia"/>
          <w:sz w:val="24"/>
          <w:szCs w:val="24"/>
        </w:rPr>
        <w:t xml:space="preserve">ser management process allows for quick assignment </w:t>
      </w:r>
      <w:bookmarkStart w:id="0" w:name="_GoBack"/>
      <w:bookmarkEnd w:id="0"/>
      <w:r w:rsidR="006513F8" w:rsidRPr="00F81A72">
        <w:rPr>
          <w:rFonts w:ascii="Georgia" w:hAnsi="Georgia"/>
          <w:sz w:val="24"/>
          <w:szCs w:val="24"/>
        </w:rPr>
        <w:t>of rights and access</w:t>
      </w:r>
    </w:p>
    <w:p w14:paraId="6B58F591" w14:textId="5D3BF9AD" w:rsidR="008A60A6" w:rsidRPr="00F81A72" w:rsidRDefault="0092108A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>Ability to import historical data from existing systems for longitudinal record</w:t>
      </w:r>
      <w:r w:rsidR="00A07FF6">
        <w:rPr>
          <w:rFonts w:ascii="Georgia" w:hAnsi="Georgia"/>
          <w:sz w:val="24"/>
          <w:szCs w:val="24"/>
        </w:rPr>
        <w:t>s</w:t>
      </w:r>
    </w:p>
    <w:p w14:paraId="7F3D92D9" w14:textId="348A18F0" w:rsidR="005E72C7" w:rsidRPr="00A07FF6" w:rsidRDefault="005E72C7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>Web-based with SSL security and HIPAA compliance</w:t>
      </w:r>
    </w:p>
    <w:p w14:paraId="78377D7F" w14:textId="1CCBABEF" w:rsidR="00452C20" w:rsidRPr="00F81A72" w:rsidRDefault="00452C20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>All information is housed for 26 years</w:t>
      </w:r>
    </w:p>
    <w:p w14:paraId="03D67C48" w14:textId="17C0CCE4" w:rsidR="004A3982" w:rsidRPr="00F81A72" w:rsidRDefault="004A3982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>Lowest total cost of ownership (TCO) and fastest return on investment (ROI) available</w:t>
      </w:r>
    </w:p>
    <w:p w14:paraId="5367FBCD" w14:textId="24A79863" w:rsidR="00884F46" w:rsidRPr="00A07FF6" w:rsidRDefault="004A3982" w:rsidP="00EC4EAA">
      <w:pPr>
        <w:pStyle w:val="ListParagraph"/>
        <w:numPr>
          <w:ilvl w:val="0"/>
          <w:numId w:val="1"/>
        </w:numPr>
        <w:spacing w:after="120"/>
        <w:rPr>
          <w:rFonts w:ascii="Georgia" w:hAnsi="Georgia"/>
          <w:i/>
          <w:sz w:val="24"/>
          <w:szCs w:val="24"/>
        </w:rPr>
      </w:pPr>
      <w:r w:rsidRPr="00F81A72">
        <w:rPr>
          <w:rFonts w:ascii="Georgia" w:hAnsi="Georgia"/>
          <w:sz w:val="24"/>
          <w:szCs w:val="24"/>
        </w:rPr>
        <w:t>Configured and up-and-running in five (5) days or less</w:t>
      </w:r>
      <w:r w:rsidR="00A07FF6">
        <w:rPr>
          <w:rFonts w:ascii="Georgia" w:hAnsi="Georgia"/>
          <w:sz w:val="24"/>
          <w:szCs w:val="24"/>
        </w:rPr>
        <w:t xml:space="preserve"> </w:t>
      </w:r>
      <w:r w:rsidRPr="00F81A72">
        <w:rPr>
          <w:rFonts w:ascii="Georgia" w:hAnsi="Georgia"/>
          <w:sz w:val="24"/>
          <w:szCs w:val="24"/>
        </w:rPr>
        <w:t>…</w:t>
      </w:r>
      <w:r w:rsidR="00A07FF6">
        <w:rPr>
          <w:rFonts w:ascii="Georgia" w:hAnsi="Georgia"/>
          <w:sz w:val="24"/>
          <w:szCs w:val="24"/>
        </w:rPr>
        <w:t xml:space="preserve"> </w:t>
      </w:r>
      <w:r w:rsidRPr="00A07FF6">
        <w:rPr>
          <w:rFonts w:ascii="Georgia" w:hAnsi="Georgia"/>
          <w:i/>
          <w:sz w:val="24"/>
          <w:szCs w:val="24"/>
        </w:rPr>
        <w:t>guaranteed</w:t>
      </w:r>
    </w:p>
    <w:p w14:paraId="25AA21DB" w14:textId="539A1DCB" w:rsidR="003C58F7" w:rsidRDefault="00EC4EA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ABE0438" wp14:editId="4AF06E0C">
            <wp:simplePos x="0" y="0"/>
            <wp:positionH relativeFrom="column">
              <wp:posOffset>5210175</wp:posOffset>
            </wp:positionH>
            <wp:positionV relativeFrom="paragraph">
              <wp:posOffset>78105</wp:posOffset>
            </wp:positionV>
            <wp:extent cx="1752600" cy="523875"/>
            <wp:effectExtent l="0" t="0" r="0" b="0"/>
            <wp:wrapNone/>
            <wp:docPr id="1" name="Picture 5" descr="A picture containing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objec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8F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24DE6D" wp14:editId="595A3AFD">
            <wp:simplePos x="0" y="0"/>
            <wp:positionH relativeFrom="column">
              <wp:posOffset>2123966</wp:posOffset>
            </wp:positionH>
            <wp:positionV relativeFrom="page">
              <wp:posOffset>8229600</wp:posOffset>
            </wp:positionV>
            <wp:extent cx="2724912" cy="1060704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igh res horiz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912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F3A78" w14:textId="249CFFDB" w:rsidR="003C58F7" w:rsidRDefault="003C58F7">
      <w:pPr>
        <w:rPr>
          <w:sz w:val="24"/>
          <w:szCs w:val="24"/>
        </w:rPr>
      </w:pPr>
    </w:p>
    <w:p w14:paraId="5EBC2E33" w14:textId="005C828C" w:rsidR="003C58F7" w:rsidRDefault="003C58F7">
      <w:pPr>
        <w:rPr>
          <w:sz w:val="24"/>
          <w:szCs w:val="24"/>
        </w:rPr>
      </w:pPr>
    </w:p>
    <w:p w14:paraId="1F1BFEA2" w14:textId="79550D8D" w:rsidR="003C58F7" w:rsidRDefault="003C58F7">
      <w:pPr>
        <w:rPr>
          <w:sz w:val="24"/>
          <w:szCs w:val="24"/>
        </w:rPr>
      </w:pPr>
    </w:p>
    <w:p w14:paraId="52822543" w14:textId="4EF5D7F4" w:rsidR="00D83687" w:rsidRPr="00274B13" w:rsidRDefault="00EC4EAA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AD69B32" wp14:editId="4E035C59">
            <wp:simplePos x="0" y="0"/>
            <wp:positionH relativeFrom="column">
              <wp:posOffset>333375</wp:posOffset>
            </wp:positionH>
            <wp:positionV relativeFrom="paragraph">
              <wp:posOffset>125730</wp:posOffset>
            </wp:positionV>
            <wp:extent cx="6400800" cy="178435"/>
            <wp:effectExtent l="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7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3687" w:rsidRPr="00274B13" w:rsidSect="000D19CF"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62416"/>
    <w:multiLevelType w:val="hybridMultilevel"/>
    <w:tmpl w:val="3C724B04"/>
    <w:lvl w:ilvl="0" w:tplc="64404B7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sDCxtLC0MDUxMLA0MjZW0lEKTi0uzszPAykwrwUA9EDtwSwAAAA="/>
  </w:docVars>
  <w:rsids>
    <w:rsidRoot w:val="0068124B"/>
    <w:rsid w:val="000046F1"/>
    <w:rsid w:val="00020FD6"/>
    <w:rsid w:val="000237DE"/>
    <w:rsid w:val="00037680"/>
    <w:rsid w:val="000C0EB3"/>
    <w:rsid w:val="000D19CF"/>
    <w:rsid w:val="000F5A20"/>
    <w:rsid w:val="000F7253"/>
    <w:rsid w:val="00122678"/>
    <w:rsid w:val="00125540"/>
    <w:rsid w:val="0015064E"/>
    <w:rsid w:val="00180C4B"/>
    <w:rsid w:val="0018412A"/>
    <w:rsid w:val="001860BD"/>
    <w:rsid w:val="001917B0"/>
    <w:rsid w:val="002363DF"/>
    <w:rsid w:val="0025040A"/>
    <w:rsid w:val="00257B03"/>
    <w:rsid w:val="00274B13"/>
    <w:rsid w:val="00275662"/>
    <w:rsid w:val="002E4054"/>
    <w:rsid w:val="002F6592"/>
    <w:rsid w:val="003B6543"/>
    <w:rsid w:val="003C58F7"/>
    <w:rsid w:val="0043066D"/>
    <w:rsid w:val="00452C20"/>
    <w:rsid w:val="0045671D"/>
    <w:rsid w:val="00484D69"/>
    <w:rsid w:val="004A3982"/>
    <w:rsid w:val="00562E1F"/>
    <w:rsid w:val="00572249"/>
    <w:rsid w:val="0057687A"/>
    <w:rsid w:val="005E72C7"/>
    <w:rsid w:val="006117F5"/>
    <w:rsid w:val="006329C9"/>
    <w:rsid w:val="006513F8"/>
    <w:rsid w:val="00664C50"/>
    <w:rsid w:val="0068124B"/>
    <w:rsid w:val="006A5A4A"/>
    <w:rsid w:val="006D66E2"/>
    <w:rsid w:val="007225FD"/>
    <w:rsid w:val="00795459"/>
    <w:rsid w:val="007B447A"/>
    <w:rsid w:val="0081436D"/>
    <w:rsid w:val="00853A4E"/>
    <w:rsid w:val="00884F46"/>
    <w:rsid w:val="008A60A6"/>
    <w:rsid w:val="008B2A4B"/>
    <w:rsid w:val="008D3397"/>
    <w:rsid w:val="008F25C6"/>
    <w:rsid w:val="009028D5"/>
    <w:rsid w:val="0092108A"/>
    <w:rsid w:val="00981902"/>
    <w:rsid w:val="00983C61"/>
    <w:rsid w:val="0098739C"/>
    <w:rsid w:val="0099290A"/>
    <w:rsid w:val="009A06E0"/>
    <w:rsid w:val="009D15BD"/>
    <w:rsid w:val="009F6DA9"/>
    <w:rsid w:val="00A04BB7"/>
    <w:rsid w:val="00A07FF6"/>
    <w:rsid w:val="00A64B5D"/>
    <w:rsid w:val="00AA1444"/>
    <w:rsid w:val="00AA49A5"/>
    <w:rsid w:val="00B06944"/>
    <w:rsid w:val="00B15A35"/>
    <w:rsid w:val="00B83731"/>
    <w:rsid w:val="00BA7A69"/>
    <w:rsid w:val="00C345E4"/>
    <w:rsid w:val="00C44AE2"/>
    <w:rsid w:val="00CC34CA"/>
    <w:rsid w:val="00CC6CC0"/>
    <w:rsid w:val="00D14F8F"/>
    <w:rsid w:val="00D34634"/>
    <w:rsid w:val="00D82454"/>
    <w:rsid w:val="00D83687"/>
    <w:rsid w:val="00DC71B4"/>
    <w:rsid w:val="00DD3727"/>
    <w:rsid w:val="00E06CB6"/>
    <w:rsid w:val="00E44CF0"/>
    <w:rsid w:val="00E453B5"/>
    <w:rsid w:val="00E67526"/>
    <w:rsid w:val="00E70433"/>
    <w:rsid w:val="00E93AD3"/>
    <w:rsid w:val="00EC4B38"/>
    <w:rsid w:val="00EC4EAA"/>
    <w:rsid w:val="00EE20EC"/>
    <w:rsid w:val="00EF45CC"/>
    <w:rsid w:val="00F24141"/>
    <w:rsid w:val="00F24DF1"/>
    <w:rsid w:val="00F40358"/>
    <w:rsid w:val="00F81A72"/>
    <w:rsid w:val="00FB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10A8"/>
  <w15:docId w15:val="{3BE2039C-2718-4F6F-9D9B-C7B30E37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CindyG</dc:creator>
  <cp:lastModifiedBy>Tara O'Neill</cp:lastModifiedBy>
  <cp:revision>5</cp:revision>
  <cp:lastPrinted>2018-12-10T16:42:00Z</cp:lastPrinted>
  <dcterms:created xsi:type="dcterms:W3CDTF">2018-12-07T16:28:00Z</dcterms:created>
  <dcterms:modified xsi:type="dcterms:W3CDTF">2018-12-10T16:48:00Z</dcterms:modified>
</cp:coreProperties>
</file>